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2F9D" w14:textId="77777777" w:rsidR="005C4D1D" w:rsidRPr="00394A4D" w:rsidRDefault="00F21588" w:rsidP="0065718E">
      <w:pPr>
        <w:widowControl w:val="0"/>
        <w:pBdr>
          <w:top w:val="nil"/>
          <w:left w:val="nil"/>
          <w:bottom w:val="nil"/>
          <w:right w:val="nil"/>
          <w:between w:val="nil"/>
        </w:pBdr>
        <w:spacing w:before="1156"/>
        <w:ind w:right="4"/>
        <w:jc w:val="center"/>
        <w:rPr>
          <w:rFonts w:ascii="Times New Roman" w:eastAsia="Times New Roman" w:hAnsi="Times New Roman" w:cs="Times New Roman"/>
          <w:b/>
          <w:sz w:val="24"/>
          <w:szCs w:val="24"/>
        </w:rPr>
      </w:pPr>
      <w:r w:rsidRPr="00394A4D">
        <w:rPr>
          <w:rFonts w:ascii="Times New Roman" w:eastAsia="Times New Roman" w:hAnsi="Times New Roman" w:cs="Times New Roman"/>
          <w:b/>
          <w:sz w:val="24"/>
          <w:szCs w:val="24"/>
        </w:rPr>
        <w:t xml:space="preserve">PROGRAMA DE CURSO </w:t>
      </w:r>
      <w:r w:rsidRPr="00394A4D">
        <w:rPr>
          <w:noProof/>
        </w:rPr>
        <w:drawing>
          <wp:anchor distT="0" distB="0" distL="0" distR="0" simplePos="0" relativeHeight="251658240" behindDoc="0" locked="0" layoutInCell="1" hidden="0" allowOverlap="1" wp14:anchorId="58A531CD" wp14:editId="54747258">
            <wp:simplePos x="0" y="0"/>
            <wp:positionH relativeFrom="column">
              <wp:posOffset>-172719</wp:posOffset>
            </wp:positionH>
            <wp:positionV relativeFrom="paragraph">
              <wp:posOffset>734568</wp:posOffset>
            </wp:positionV>
            <wp:extent cx="6116320" cy="89725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16320" cy="897255"/>
                    </a:xfrm>
                    <a:prstGeom prst="rect">
                      <a:avLst/>
                    </a:prstGeom>
                    <a:ln/>
                  </pic:spPr>
                </pic:pic>
              </a:graphicData>
            </a:graphic>
          </wp:anchor>
        </w:drawing>
      </w:r>
    </w:p>
    <w:p w14:paraId="7C147E10" w14:textId="6C5B7E11" w:rsidR="005C4D1D" w:rsidRPr="00394A4D" w:rsidRDefault="0065718E" w:rsidP="0065718E">
      <w:pPr>
        <w:widowControl w:val="0"/>
        <w:pBdr>
          <w:top w:val="nil"/>
          <w:left w:val="nil"/>
          <w:bottom w:val="nil"/>
          <w:right w:val="nil"/>
          <w:between w:val="nil"/>
        </w:pBdr>
        <w:spacing w:before="225"/>
        <w:ind w:right="4"/>
        <w:jc w:val="center"/>
        <w:rPr>
          <w:i/>
          <w:sz w:val="24"/>
          <w:szCs w:val="24"/>
        </w:rPr>
      </w:pPr>
      <w:r w:rsidRPr="00394A4D">
        <w:rPr>
          <w:i/>
          <w:sz w:val="24"/>
          <w:szCs w:val="24"/>
        </w:rPr>
        <w:t>Protección Radiológica y Control de Calidad</w:t>
      </w:r>
    </w:p>
    <w:p w14:paraId="39352F76" w14:textId="29AD319E" w:rsidR="005C4D1D" w:rsidRPr="00394A4D" w:rsidRDefault="0065718E" w:rsidP="0065718E">
      <w:pPr>
        <w:widowControl w:val="0"/>
        <w:pBdr>
          <w:top w:val="nil"/>
          <w:left w:val="nil"/>
          <w:bottom w:val="nil"/>
          <w:right w:val="nil"/>
          <w:between w:val="nil"/>
        </w:pBdr>
        <w:spacing w:before="225"/>
        <w:ind w:right="4"/>
        <w:jc w:val="center"/>
        <w:rPr>
          <w:i/>
          <w:sz w:val="24"/>
          <w:szCs w:val="24"/>
        </w:rPr>
      </w:pPr>
      <w:r w:rsidRPr="00394A4D">
        <w:rPr>
          <w:i/>
          <w:sz w:val="24"/>
          <w:szCs w:val="24"/>
        </w:rPr>
        <w:t>2020</w:t>
      </w:r>
    </w:p>
    <w:p w14:paraId="486AA140" w14:textId="77777777" w:rsidR="005C4D1D" w:rsidRPr="00394A4D" w:rsidRDefault="00F21588">
      <w:pPr>
        <w:widowControl w:val="0"/>
        <w:pBdr>
          <w:top w:val="nil"/>
          <w:left w:val="nil"/>
          <w:bottom w:val="nil"/>
          <w:right w:val="nil"/>
          <w:between w:val="nil"/>
        </w:pBdr>
        <w:spacing w:before="691"/>
        <w:ind w:left="-28" w:right="3676"/>
        <w:rPr>
          <w:rFonts w:ascii="Times New Roman" w:eastAsia="Times New Roman" w:hAnsi="Times New Roman" w:cs="Times New Roman"/>
          <w:b/>
          <w:sz w:val="24"/>
          <w:szCs w:val="24"/>
        </w:rPr>
      </w:pPr>
      <w:r w:rsidRPr="00394A4D">
        <w:rPr>
          <w:rFonts w:ascii="Times New Roman" w:eastAsia="Times New Roman" w:hAnsi="Times New Roman" w:cs="Times New Roman"/>
          <w:b/>
          <w:sz w:val="24"/>
          <w:szCs w:val="24"/>
        </w:rPr>
        <w:t xml:space="preserve">1- UBICACIÓN CURRICULAR Y PREVIATURAS </w:t>
      </w:r>
    </w:p>
    <w:p w14:paraId="2D024A10" w14:textId="4680157F" w:rsidR="00394A4D" w:rsidRPr="00394A4D" w:rsidRDefault="00394A4D">
      <w:pPr>
        <w:widowControl w:val="0"/>
        <w:pBdr>
          <w:top w:val="nil"/>
          <w:left w:val="nil"/>
          <w:bottom w:val="nil"/>
          <w:right w:val="nil"/>
          <w:between w:val="nil"/>
        </w:pBdr>
        <w:spacing w:before="225"/>
        <w:ind w:left="-28" w:right="-100"/>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Este curso corresponde al segundo año de la carrera de Licenciatura en Imagenología de la Escuela Universitaria de Tecnología Medica de la Facultad de Medicina de la UdelaR. El mismo es de carácter semestral y se dicta en el primer semestre del año académico.  </w:t>
      </w:r>
    </w:p>
    <w:p w14:paraId="484250C0" w14:textId="42B58104" w:rsidR="00F21588" w:rsidRPr="00394A4D" w:rsidRDefault="00F21588">
      <w:pPr>
        <w:widowControl w:val="0"/>
        <w:pBdr>
          <w:top w:val="nil"/>
          <w:left w:val="nil"/>
          <w:bottom w:val="nil"/>
          <w:right w:val="nil"/>
          <w:between w:val="nil"/>
        </w:pBdr>
        <w:spacing w:before="225"/>
        <w:ind w:left="-28" w:right="-105"/>
        <w:jc w:val="both"/>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Para poder cursar Protección Radiológica y Control de Calidad es necesario haber cursado y aprobado los cursos del Ciclo ESFUNO, Física Básica y Física Radiológica. Para rendir el examen es preciso haber aprobado los exámenes del Ciclo ESFUNO, Física Básica y Física Radiológica</w:t>
      </w:r>
    </w:p>
    <w:p w14:paraId="5025DD24" w14:textId="77777777" w:rsidR="005C4D1D" w:rsidRPr="00394A4D" w:rsidRDefault="00F21588">
      <w:pPr>
        <w:widowControl w:val="0"/>
        <w:pBdr>
          <w:top w:val="nil"/>
          <w:left w:val="nil"/>
          <w:bottom w:val="nil"/>
          <w:right w:val="nil"/>
          <w:between w:val="nil"/>
        </w:pBdr>
        <w:spacing w:before="691"/>
        <w:ind w:left="-28" w:right="580"/>
        <w:rPr>
          <w:rFonts w:ascii="Times New Roman" w:eastAsia="Times New Roman" w:hAnsi="Times New Roman" w:cs="Times New Roman"/>
          <w:b/>
          <w:sz w:val="24"/>
          <w:szCs w:val="24"/>
        </w:rPr>
      </w:pPr>
      <w:r w:rsidRPr="00394A4D">
        <w:rPr>
          <w:rFonts w:ascii="Times New Roman" w:eastAsia="Times New Roman" w:hAnsi="Times New Roman" w:cs="Times New Roman"/>
          <w:b/>
          <w:sz w:val="24"/>
          <w:szCs w:val="24"/>
        </w:rPr>
        <w:t xml:space="preserve">2- EQUIPO DOCENTE A CARGO Y ÁREAS ACADÉMICAS INVOLUCRADAS </w:t>
      </w:r>
    </w:p>
    <w:p w14:paraId="2B272F39" w14:textId="7557ABBA" w:rsidR="00394A4D" w:rsidRPr="00394A4D" w:rsidRDefault="00394A4D" w:rsidP="00394A4D">
      <w:pPr>
        <w:widowControl w:val="0"/>
        <w:pBdr>
          <w:top w:val="nil"/>
          <w:left w:val="nil"/>
          <w:bottom w:val="nil"/>
          <w:right w:val="nil"/>
          <w:between w:val="nil"/>
        </w:pBdr>
        <w:spacing w:before="225"/>
        <w:ind w:left="-28" w:right="47"/>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El equipo docente a cargo del cargo estará conformado por: Ayte. Lic. Gerardo Sanchez, Ayte. Hon. Lic. Paola Pagano y Ayte. Hon. Lic. Matias Prado. Además de estos, se contará con el apoyo y participación de docentes de la Unidad Académica de Radio Protección del Instituto de Salud Pública de la Facultad de Medicina de la UdelaR, así como también del Lic. Marcel Frederico, docente del Centro de Investigaciones Nucleares de la Facultad de Ciencia de la UdelaR.</w:t>
      </w:r>
    </w:p>
    <w:p w14:paraId="3F640092" w14:textId="77777777" w:rsidR="00394A4D" w:rsidRPr="00394A4D" w:rsidRDefault="00394A4D" w:rsidP="00394A4D">
      <w:pPr>
        <w:widowControl w:val="0"/>
        <w:pBdr>
          <w:top w:val="nil"/>
          <w:left w:val="nil"/>
          <w:bottom w:val="nil"/>
          <w:right w:val="nil"/>
          <w:between w:val="nil"/>
        </w:pBdr>
        <w:spacing w:before="225"/>
        <w:ind w:left="-28" w:right="47"/>
        <w:rPr>
          <w:rFonts w:ascii="Times New Roman" w:eastAsia="Times New Roman" w:hAnsi="Times New Roman" w:cs="Times New Roman"/>
          <w:sz w:val="24"/>
          <w:szCs w:val="24"/>
        </w:rPr>
      </w:pPr>
    </w:p>
    <w:p w14:paraId="6A021E63" w14:textId="77777777" w:rsidR="005C4D1D" w:rsidRPr="00394A4D" w:rsidRDefault="00F21588" w:rsidP="00394A4D">
      <w:pPr>
        <w:widowControl w:val="0"/>
        <w:pBdr>
          <w:top w:val="nil"/>
          <w:left w:val="nil"/>
          <w:bottom w:val="nil"/>
          <w:right w:val="nil"/>
          <w:between w:val="nil"/>
        </w:pBdr>
        <w:spacing w:before="691"/>
        <w:ind w:right="863"/>
        <w:rPr>
          <w:rFonts w:ascii="Times New Roman" w:eastAsia="Times New Roman" w:hAnsi="Times New Roman" w:cs="Times New Roman"/>
          <w:sz w:val="24"/>
          <w:szCs w:val="24"/>
        </w:rPr>
      </w:pPr>
      <w:r w:rsidRPr="00394A4D">
        <w:rPr>
          <w:rFonts w:ascii="Times New Roman" w:eastAsia="Times New Roman" w:hAnsi="Times New Roman" w:cs="Times New Roman"/>
          <w:b/>
          <w:sz w:val="24"/>
          <w:szCs w:val="24"/>
        </w:rPr>
        <w:lastRenderedPageBreak/>
        <w:t xml:space="preserve">3- FUNDAMENTACIÓN Y OBJETIVOS GENERALES: </w:t>
      </w:r>
      <w:r w:rsidRPr="00394A4D">
        <w:rPr>
          <w:rFonts w:ascii="Times New Roman" w:eastAsia="Times New Roman" w:hAnsi="Times New Roman" w:cs="Times New Roman"/>
          <w:sz w:val="24"/>
          <w:szCs w:val="24"/>
        </w:rPr>
        <w:t xml:space="preserve">(máximo 400 palabras) </w:t>
      </w:r>
    </w:p>
    <w:p w14:paraId="6AD3CB58" w14:textId="7E9E617A" w:rsidR="00394A4D" w:rsidRPr="00394A4D" w:rsidRDefault="00394A4D">
      <w:pPr>
        <w:widowControl w:val="0"/>
        <w:pBdr>
          <w:top w:val="nil"/>
          <w:left w:val="nil"/>
          <w:bottom w:val="nil"/>
          <w:right w:val="nil"/>
          <w:between w:val="nil"/>
        </w:pBdr>
        <w:spacing w:before="225"/>
        <w:ind w:left="-28" w:right="-100"/>
        <w:rPr>
          <w:rFonts w:ascii="Times New Roman" w:eastAsia="Times New Roman" w:hAnsi="Times New Roman" w:cs="Times New Roman"/>
          <w:sz w:val="24"/>
          <w:szCs w:val="24"/>
        </w:rPr>
      </w:pPr>
      <w:bookmarkStart w:id="0" w:name="_GoBack"/>
      <w:bookmarkEnd w:id="0"/>
      <w:r w:rsidRPr="00394A4D">
        <w:rPr>
          <w:rFonts w:ascii="Times New Roman" w:eastAsia="Times New Roman" w:hAnsi="Times New Roman" w:cs="Times New Roman"/>
          <w:sz w:val="24"/>
          <w:szCs w:val="24"/>
        </w:rPr>
        <w:t>Proveer al estudiante los conocimientos, competencias y destrezas para cumplir su responsabilidad como efector-clave del Programa de Protección Radiológica; dentro de un Plan de Garantía de Calidad del Servicio.</w:t>
      </w:r>
    </w:p>
    <w:p w14:paraId="415C6AF8" w14:textId="77777777" w:rsidR="005C4D1D" w:rsidRPr="00394A4D" w:rsidRDefault="00F21588">
      <w:pPr>
        <w:widowControl w:val="0"/>
        <w:pBdr>
          <w:top w:val="nil"/>
          <w:left w:val="nil"/>
          <w:bottom w:val="nil"/>
          <w:right w:val="nil"/>
          <w:between w:val="nil"/>
        </w:pBdr>
        <w:spacing w:before="691"/>
        <w:ind w:left="-28" w:right="2433"/>
        <w:rPr>
          <w:rFonts w:ascii="Times New Roman" w:eastAsia="Times New Roman" w:hAnsi="Times New Roman" w:cs="Times New Roman"/>
          <w:sz w:val="24"/>
          <w:szCs w:val="24"/>
        </w:rPr>
      </w:pPr>
      <w:r w:rsidRPr="00394A4D">
        <w:rPr>
          <w:rFonts w:ascii="Times New Roman" w:eastAsia="Times New Roman" w:hAnsi="Times New Roman" w:cs="Times New Roman"/>
          <w:b/>
          <w:sz w:val="24"/>
          <w:szCs w:val="24"/>
        </w:rPr>
        <w:t xml:space="preserve">4- METODOLOGÍAS DE ENSEÑANZA </w:t>
      </w:r>
      <w:r w:rsidRPr="00394A4D">
        <w:rPr>
          <w:rFonts w:ascii="Times New Roman" w:eastAsia="Times New Roman" w:hAnsi="Times New Roman" w:cs="Times New Roman"/>
          <w:sz w:val="24"/>
          <w:szCs w:val="24"/>
        </w:rPr>
        <w:t xml:space="preserve">(máximo 1000 palabras) </w:t>
      </w:r>
    </w:p>
    <w:p w14:paraId="70077E90" w14:textId="747BE55C" w:rsidR="00394A4D" w:rsidRPr="00394A4D" w:rsidRDefault="00394A4D" w:rsidP="00394A4D">
      <w:pPr>
        <w:widowControl w:val="0"/>
        <w:pBdr>
          <w:top w:val="nil"/>
          <w:left w:val="nil"/>
          <w:bottom w:val="nil"/>
          <w:right w:val="nil"/>
          <w:between w:val="nil"/>
        </w:pBdr>
        <w:spacing w:before="225"/>
        <w:ind w:left="-28" w:right="-105"/>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Las clases se dictarán mediante exposiciones de los docentes, dando la oportunidad a los alumnos de participar durante el desarrollo de la misma mediante preguntas o comentarios. A su vez se realizarán actividades prácticas donde se llevarán a cabo demostraciones experimentales, cálculos y mediciones. Además, se utilizará la plataforma EVA como herramienta de comunicación, organización y soporte para el mejor desarrollo del curso. </w:t>
      </w:r>
    </w:p>
    <w:p w14:paraId="0A7C750D" w14:textId="77777777" w:rsidR="005C4D1D" w:rsidRPr="00394A4D" w:rsidRDefault="00F21588">
      <w:pPr>
        <w:widowControl w:val="0"/>
        <w:pBdr>
          <w:top w:val="nil"/>
          <w:left w:val="nil"/>
          <w:bottom w:val="nil"/>
          <w:right w:val="nil"/>
          <w:between w:val="nil"/>
        </w:pBdr>
        <w:spacing w:before="686"/>
        <w:ind w:left="-28" w:right="5663"/>
        <w:rPr>
          <w:rFonts w:ascii="Times New Roman" w:eastAsia="Times New Roman" w:hAnsi="Times New Roman" w:cs="Times New Roman"/>
          <w:b/>
          <w:sz w:val="24"/>
          <w:szCs w:val="24"/>
        </w:rPr>
      </w:pPr>
      <w:r w:rsidRPr="00394A4D">
        <w:rPr>
          <w:rFonts w:ascii="Times New Roman" w:eastAsia="Times New Roman" w:hAnsi="Times New Roman" w:cs="Times New Roman"/>
          <w:b/>
          <w:sz w:val="24"/>
          <w:szCs w:val="24"/>
        </w:rPr>
        <w:t xml:space="preserve">5- CONTENIDOS TEMÁTICOS </w:t>
      </w:r>
    </w:p>
    <w:p w14:paraId="4A8ADBC0" w14:textId="77777777" w:rsidR="00394A4D" w:rsidRPr="00394A4D" w:rsidRDefault="00394A4D" w:rsidP="00394A4D">
      <w:pPr>
        <w:rPr>
          <w:b/>
          <w:bCs/>
        </w:rPr>
      </w:pPr>
    </w:p>
    <w:p w14:paraId="61FA1EE0" w14:textId="4C1D334F" w:rsidR="00394A4D" w:rsidRPr="00394A4D" w:rsidRDefault="00394A4D" w:rsidP="00394A4D">
      <w:pPr>
        <w:rPr>
          <w:rFonts w:ascii="Times New Roman" w:eastAsia="Times New Roman" w:hAnsi="Times New Roman" w:cs="Times New Roman"/>
          <w:b/>
          <w:bCs/>
          <w:sz w:val="24"/>
          <w:szCs w:val="24"/>
        </w:rPr>
      </w:pPr>
      <w:r w:rsidRPr="00394A4D">
        <w:rPr>
          <w:rFonts w:ascii="Times New Roman" w:eastAsia="Times New Roman" w:hAnsi="Times New Roman" w:cs="Times New Roman"/>
          <w:b/>
          <w:bCs/>
          <w:sz w:val="24"/>
          <w:szCs w:val="24"/>
        </w:rPr>
        <w:t xml:space="preserve">Modulo I. Magnitudes y mediciones </w:t>
      </w:r>
    </w:p>
    <w:p w14:paraId="17464062" w14:textId="77777777" w:rsidR="00394A4D" w:rsidRPr="00394A4D" w:rsidRDefault="00394A4D" w:rsidP="00394A4D">
      <w:pPr>
        <w:rPr>
          <w:rFonts w:ascii="Times New Roman" w:eastAsia="Times New Roman" w:hAnsi="Times New Roman" w:cs="Times New Roman"/>
          <w:sz w:val="24"/>
          <w:szCs w:val="24"/>
        </w:rPr>
      </w:pPr>
    </w:p>
    <w:p w14:paraId="537F5675" w14:textId="77777777" w:rsidR="00394A4D" w:rsidRPr="00394A4D" w:rsidRDefault="00394A4D" w:rsidP="00394A4D">
      <w:pPr>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Magnitudes radiométricas y coeficientes de interacción: Campo de radiación; tasa de fluencia; tasa de fluencia de energía; distribuciones energéticas; sección eficaz; coeficiente de atenuación; poder de frenado; transferencia lineal de energía (LET). Magnitudes Dosimétricas: Exposición; kerma; conceptos de dosimetría: energía impartida; dosis absorbida. Magnitudes de Protección y operacionales: Dosis absorbida media en órgano; Factor de ponderación por radiación wR; dosis equivalente; factor de ponderación por tejido wT; dosis efectiva; campo alineado y expandido; equivalente de dosis personal Hp (0.07) y Hp (10); equivalente de dosis ambiental H*(d) y equivalente de dosis direccional (H’(d)). </w:t>
      </w:r>
    </w:p>
    <w:p w14:paraId="5724B399" w14:textId="7D20AB8A" w:rsidR="00394A4D" w:rsidRPr="00394A4D" w:rsidRDefault="00394A4D" w:rsidP="00394A4D">
      <w:pPr>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Principios de detección y medidas:  Modelo ideal de detector: eficiencia absoluta, eficiencia geométrica, determinación de actividad. Uso de detectores: calibración; fondo; geometría; estadísticas, pulsos, resolución, tiempo muerto. Detectores gaseosos: cámara de ionización, detectores proporcionales, detectores Geiger-Muller. Detectores de centelleo: materiales centelleadores, tubos fotomultiplicadores, espectrometría de centelleo. Dosímetros personales integrados TLD, OSL, film, etc. </w:t>
      </w:r>
    </w:p>
    <w:p w14:paraId="6961D952" w14:textId="77777777" w:rsidR="00394A4D" w:rsidRPr="00394A4D" w:rsidRDefault="00394A4D" w:rsidP="00394A4D">
      <w:pPr>
        <w:rPr>
          <w:rFonts w:ascii="Times New Roman" w:eastAsia="Times New Roman" w:hAnsi="Times New Roman" w:cs="Times New Roman"/>
          <w:sz w:val="24"/>
          <w:szCs w:val="24"/>
        </w:rPr>
      </w:pPr>
    </w:p>
    <w:p w14:paraId="360AE068" w14:textId="69DB194B" w:rsidR="00394A4D" w:rsidRPr="00394A4D" w:rsidRDefault="00394A4D" w:rsidP="00394A4D">
      <w:pPr>
        <w:rPr>
          <w:rFonts w:ascii="Times New Roman" w:eastAsia="Times New Roman" w:hAnsi="Times New Roman" w:cs="Times New Roman"/>
          <w:b/>
          <w:bCs/>
          <w:sz w:val="24"/>
          <w:szCs w:val="24"/>
        </w:rPr>
      </w:pPr>
      <w:r w:rsidRPr="00394A4D">
        <w:rPr>
          <w:rFonts w:ascii="Times New Roman" w:eastAsia="Times New Roman" w:hAnsi="Times New Roman" w:cs="Times New Roman"/>
          <w:b/>
          <w:bCs/>
          <w:sz w:val="24"/>
          <w:szCs w:val="24"/>
        </w:rPr>
        <w:t xml:space="preserve">Modulo II. Efectos biológicos de la radiación ionizante </w:t>
      </w:r>
    </w:p>
    <w:p w14:paraId="156651C7" w14:textId="77777777" w:rsidR="00394A4D" w:rsidRPr="00394A4D" w:rsidRDefault="00394A4D" w:rsidP="00394A4D">
      <w:pPr>
        <w:rPr>
          <w:rFonts w:ascii="Times New Roman" w:eastAsia="Times New Roman" w:hAnsi="Times New Roman" w:cs="Times New Roman"/>
          <w:sz w:val="24"/>
          <w:szCs w:val="24"/>
        </w:rPr>
      </w:pPr>
    </w:p>
    <w:p w14:paraId="5A4FB7DE" w14:textId="77777777" w:rsidR="00394A4D" w:rsidRPr="00394A4D" w:rsidRDefault="00394A4D" w:rsidP="00394A4D">
      <w:pPr>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Ruptura de enlaces químicos por excitación e ionización; elementos biológicamente importantes; efectos directos e indirectos de la radiación: generación de radicales libres, interacción con ADN; interacción con otros constituyentes de la célula. Respuesta y reparación del daño al ADN; Efectividad Biológica Relativa (RBE). Indicadores biológicos de dosis: aberraciones </w:t>
      </w:r>
      <w:r w:rsidRPr="00394A4D">
        <w:rPr>
          <w:rFonts w:ascii="Times New Roman" w:eastAsia="Times New Roman" w:hAnsi="Times New Roman" w:cs="Times New Roman"/>
          <w:sz w:val="24"/>
          <w:szCs w:val="24"/>
        </w:rPr>
        <w:lastRenderedPageBreak/>
        <w:t>cromosómicas, dosimetría biológica, ensayo de micro-núcleos (MN). Efectos determinísticos; Efectos estocásticos somáticos; Efectos estocásticos hereditarios; Estudios epidemiológicos.</w:t>
      </w:r>
    </w:p>
    <w:p w14:paraId="5FB95051" w14:textId="77777777" w:rsidR="00394A4D" w:rsidRDefault="00394A4D" w:rsidP="00394A4D">
      <w:pPr>
        <w:rPr>
          <w:rFonts w:ascii="Times New Roman" w:eastAsia="Times New Roman" w:hAnsi="Times New Roman" w:cs="Times New Roman"/>
          <w:sz w:val="24"/>
          <w:szCs w:val="24"/>
        </w:rPr>
      </w:pPr>
    </w:p>
    <w:p w14:paraId="3F4DA16E" w14:textId="081D1B9F" w:rsidR="00394A4D" w:rsidRPr="00394A4D" w:rsidRDefault="00394A4D" w:rsidP="00394A4D">
      <w:pPr>
        <w:rPr>
          <w:rFonts w:ascii="Times New Roman" w:eastAsia="Times New Roman" w:hAnsi="Times New Roman" w:cs="Times New Roman"/>
          <w:b/>
          <w:bCs/>
          <w:sz w:val="24"/>
          <w:szCs w:val="24"/>
        </w:rPr>
      </w:pPr>
      <w:r w:rsidRPr="00394A4D">
        <w:rPr>
          <w:rFonts w:ascii="Times New Roman" w:eastAsia="Times New Roman" w:hAnsi="Times New Roman" w:cs="Times New Roman"/>
          <w:b/>
          <w:bCs/>
          <w:sz w:val="24"/>
          <w:szCs w:val="24"/>
        </w:rPr>
        <w:t>Modulo III. Sistema Internacional de Proteccion Radiologica y marco regulatorio local</w:t>
      </w:r>
    </w:p>
    <w:p w14:paraId="2036D460" w14:textId="5E832930" w:rsidR="00394A4D" w:rsidRPr="00394A4D" w:rsidRDefault="00394A4D" w:rsidP="00394A4D">
      <w:pPr>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El rol de las Organizaciones Internacionales en Protección Radiológica: La contribución de los datos científicos del UNSCEAR; recomendaciones del ICRP; OEIA. Principios de protección radiológica. Enfoque gradual. Cultura de seguridad. Alcance del marco legal básico. Responsabilidades y funciones del gobierno. Responsabilidades y funciones del órgano regulador. </w:t>
      </w:r>
    </w:p>
    <w:p w14:paraId="105D7727" w14:textId="77777777" w:rsidR="00394A4D" w:rsidRPr="00394A4D" w:rsidRDefault="00394A4D" w:rsidP="00394A4D">
      <w:pPr>
        <w:rPr>
          <w:rFonts w:ascii="Times New Roman" w:eastAsia="Times New Roman" w:hAnsi="Times New Roman" w:cs="Times New Roman"/>
          <w:sz w:val="24"/>
          <w:szCs w:val="24"/>
        </w:rPr>
      </w:pPr>
    </w:p>
    <w:p w14:paraId="727E316D" w14:textId="6CB0DE05" w:rsidR="00394A4D" w:rsidRPr="00394A4D" w:rsidRDefault="00394A4D" w:rsidP="00394A4D">
      <w:pPr>
        <w:rPr>
          <w:rFonts w:ascii="Times New Roman" w:eastAsia="Times New Roman" w:hAnsi="Times New Roman" w:cs="Times New Roman"/>
          <w:b/>
          <w:bCs/>
          <w:sz w:val="24"/>
          <w:szCs w:val="24"/>
        </w:rPr>
      </w:pPr>
      <w:r w:rsidRPr="00394A4D">
        <w:rPr>
          <w:rFonts w:ascii="Times New Roman" w:eastAsia="Times New Roman" w:hAnsi="Times New Roman" w:cs="Times New Roman"/>
          <w:b/>
          <w:bCs/>
          <w:sz w:val="24"/>
          <w:szCs w:val="24"/>
        </w:rPr>
        <w:t xml:space="preserve">Modulo IV. Programa de protección radiológica. </w:t>
      </w:r>
    </w:p>
    <w:p w14:paraId="58425143" w14:textId="77777777" w:rsidR="00394A4D" w:rsidRPr="00394A4D" w:rsidRDefault="00394A4D" w:rsidP="00394A4D">
      <w:pPr>
        <w:rPr>
          <w:rFonts w:ascii="Times New Roman" w:eastAsia="Times New Roman" w:hAnsi="Times New Roman" w:cs="Times New Roman"/>
          <w:sz w:val="24"/>
          <w:szCs w:val="24"/>
        </w:rPr>
      </w:pPr>
    </w:p>
    <w:p w14:paraId="0BD883D5" w14:textId="77777777" w:rsidR="00394A4D" w:rsidRPr="00394A4D" w:rsidRDefault="00394A4D" w:rsidP="00394A4D">
      <w:pPr>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Monitoreo de áreas. Monitoreo individual. Situaciones y tipos de exposición a las radiaciones ionizantes. Clasificación de trabajadores ocupacionalmente expuestos. Clasificación de áreas.</w:t>
      </w:r>
    </w:p>
    <w:p w14:paraId="6E3B1888" w14:textId="03346377" w:rsidR="00394A4D" w:rsidRPr="00394A4D" w:rsidRDefault="00394A4D" w:rsidP="00394A4D">
      <w:pPr>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 </w:t>
      </w:r>
    </w:p>
    <w:p w14:paraId="6C291602" w14:textId="0C462D52" w:rsidR="00394A4D" w:rsidRPr="00394A4D" w:rsidRDefault="00394A4D" w:rsidP="00394A4D">
      <w:pPr>
        <w:rPr>
          <w:rFonts w:ascii="Times New Roman" w:eastAsia="Times New Roman" w:hAnsi="Times New Roman" w:cs="Times New Roman"/>
          <w:b/>
          <w:bCs/>
          <w:sz w:val="24"/>
          <w:szCs w:val="24"/>
        </w:rPr>
      </w:pPr>
      <w:r w:rsidRPr="00394A4D">
        <w:rPr>
          <w:rFonts w:ascii="Times New Roman" w:eastAsia="Times New Roman" w:hAnsi="Times New Roman" w:cs="Times New Roman"/>
          <w:b/>
          <w:bCs/>
          <w:sz w:val="24"/>
          <w:szCs w:val="24"/>
        </w:rPr>
        <w:t xml:space="preserve">Modulo V. Aspectos tecnológicos de la protección radiológica. </w:t>
      </w:r>
    </w:p>
    <w:p w14:paraId="7B4549F7" w14:textId="77777777" w:rsidR="00394A4D" w:rsidRPr="00394A4D" w:rsidRDefault="00394A4D" w:rsidP="00394A4D">
      <w:pPr>
        <w:rPr>
          <w:rFonts w:ascii="Times New Roman" w:eastAsia="Times New Roman" w:hAnsi="Times New Roman" w:cs="Times New Roman"/>
          <w:sz w:val="24"/>
          <w:szCs w:val="24"/>
        </w:rPr>
      </w:pPr>
    </w:p>
    <w:p w14:paraId="16B3E88D" w14:textId="63910474" w:rsidR="00394A4D" w:rsidRPr="00394A4D" w:rsidRDefault="00394A4D" w:rsidP="00394A4D">
      <w:pPr>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Fundamentos de protección radiológica: distancia, tiempo y blindaje. Ley de atenuación lineal. Diseño de instalaciones. Materiales de blindaje. Parámetros para el cálculo de blindaje. Elementos de protección radiológica. </w:t>
      </w:r>
      <w:r>
        <w:rPr>
          <w:rFonts w:ascii="Times New Roman" w:eastAsia="Times New Roman" w:hAnsi="Times New Roman" w:cs="Times New Roman"/>
          <w:sz w:val="24"/>
          <w:szCs w:val="24"/>
        </w:rPr>
        <w:t>Controles de calidad de equipos.</w:t>
      </w:r>
    </w:p>
    <w:p w14:paraId="6DFAB763" w14:textId="77777777" w:rsidR="005C4D1D" w:rsidRPr="00394A4D" w:rsidRDefault="00F21588">
      <w:pPr>
        <w:widowControl w:val="0"/>
        <w:pBdr>
          <w:top w:val="nil"/>
          <w:left w:val="nil"/>
          <w:bottom w:val="nil"/>
          <w:right w:val="nil"/>
          <w:between w:val="nil"/>
        </w:pBdr>
        <w:spacing w:before="691"/>
        <w:ind w:left="-28" w:right="6705"/>
        <w:rPr>
          <w:rFonts w:ascii="Times New Roman" w:eastAsia="Times New Roman" w:hAnsi="Times New Roman" w:cs="Times New Roman"/>
          <w:b/>
          <w:sz w:val="24"/>
          <w:szCs w:val="24"/>
        </w:rPr>
      </w:pPr>
      <w:r w:rsidRPr="00394A4D">
        <w:rPr>
          <w:rFonts w:ascii="Times New Roman" w:eastAsia="Times New Roman" w:hAnsi="Times New Roman" w:cs="Times New Roman"/>
          <w:b/>
          <w:sz w:val="24"/>
          <w:szCs w:val="24"/>
        </w:rPr>
        <w:t xml:space="preserve">6- CARGA HORARIA </w:t>
      </w:r>
    </w:p>
    <w:p w14:paraId="0C42E3FE" w14:textId="77777777" w:rsidR="00394A4D" w:rsidRPr="00394A4D" w:rsidRDefault="00394A4D">
      <w:pPr>
        <w:widowControl w:val="0"/>
        <w:pBdr>
          <w:top w:val="nil"/>
          <w:left w:val="nil"/>
          <w:bottom w:val="nil"/>
          <w:right w:val="nil"/>
          <w:between w:val="nil"/>
        </w:pBdr>
        <w:spacing w:before="225"/>
        <w:ind w:left="-28" w:right="-105"/>
        <w:jc w:val="both"/>
        <w:rPr>
          <w:rFonts w:ascii="Times New Roman" w:eastAsia="Times New Roman" w:hAnsi="Times New Roman" w:cs="Times New Roman"/>
          <w:color w:val="808080" w:themeColor="background1" w:themeShade="80"/>
          <w:sz w:val="24"/>
          <w:szCs w:val="24"/>
        </w:rPr>
      </w:pPr>
    </w:p>
    <w:tbl>
      <w:tblPr>
        <w:tblStyle w:val="Tablaconcuadrcula"/>
        <w:tblW w:w="0" w:type="auto"/>
        <w:jc w:val="center"/>
        <w:tblLook w:val="04A0" w:firstRow="1" w:lastRow="0" w:firstColumn="1" w:lastColumn="0" w:noHBand="0" w:noVBand="1"/>
      </w:tblPr>
      <w:tblGrid>
        <w:gridCol w:w="3681"/>
        <w:gridCol w:w="2835"/>
        <w:gridCol w:w="2834"/>
      </w:tblGrid>
      <w:tr w:rsidR="00394A4D" w:rsidRPr="00394A4D" w14:paraId="2957FF37" w14:textId="77777777" w:rsidTr="00394A4D">
        <w:trPr>
          <w:jc w:val="center"/>
        </w:trPr>
        <w:tc>
          <w:tcPr>
            <w:tcW w:w="3681" w:type="dxa"/>
          </w:tcPr>
          <w:p w14:paraId="6BD3D9A3" w14:textId="77777777" w:rsidR="00394A4D" w:rsidRPr="00394A4D" w:rsidRDefault="00394A4D" w:rsidP="00394A4D"/>
        </w:tc>
        <w:tc>
          <w:tcPr>
            <w:tcW w:w="2835" w:type="dxa"/>
          </w:tcPr>
          <w:p w14:paraId="39512B7D" w14:textId="7D313BA5" w:rsidR="00394A4D" w:rsidRPr="00394A4D" w:rsidRDefault="00394A4D" w:rsidP="00394A4D">
            <w:pPr>
              <w:jc w:val="center"/>
              <w:rPr>
                <w:rFonts w:ascii="Times New Roman" w:hAnsi="Times New Roman" w:cs="Times New Roman"/>
                <w:b/>
                <w:bCs/>
                <w:sz w:val="24"/>
                <w:szCs w:val="24"/>
              </w:rPr>
            </w:pPr>
            <w:r w:rsidRPr="00394A4D">
              <w:rPr>
                <w:rFonts w:ascii="Times New Roman" w:hAnsi="Times New Roman" w:cs="Times New Roman"/>
                <w:b/>
                <w:bCs/>
                <w:sz w:val="24"/>
                <w:szCs w:val="24"/>
              </w:rPr>
              <w:t>Horas teóricas</w:t>
            </w:r>
          </w:p>
        </w:tc>
        <w:tc>
          <w:tcPr>
            <w:tcW w:w="2834" w:type="dxa"/>
          </w:tcPr>
          <w:p w14:paraId="79FE3C30" w14:textId="64CA27DE" w:rsidR="00394A4D" w:rsidRPr="00394A4D" w:rsidRDefault="00394A4D" w:rsidP="00394A4D">
            <w:pPr>
              <w:jc w:val="center"/>
              <w:rPr>
                <w:rFonts w:ascii="Times New Roman" w:hAnsi="Times New Roman" w:cs="Times New Roman"/>
                <w:b/>
                <w:bCs/>
                <w:sz w:val="24"/>
                <w:szCs w:val="24"/>
              </w:rPr>
            </w:pPr>
            <w:r w:rsidRPr="00394A4D">
              <w:rPr>
                <w:rFonts w:ascii="Times New Roman" w:hAnsi="Times New Roman" w:cs="Times New Roman"/>
                <w:b/>
                <w:bCs/>
                <w:sz w:val="24"/>
                <w:szCs w:val="24"/>
              </w:rPr>
              <w:t>Horas practica</w:t>
            </w:r>
          </w:p>
        </w:tc>
      </w:tr>
      <w:tr w:rsidR="00394A4D" w:rsidRPr="00394A4D" w14:paraId="503EC1B9" w14:textId="77777777" w:rsidTr="00394A4D">
        <w:trPr>
          <w:jc w:val="center"/>
        </w:trPr>
        <w:tc>
          <w:tcPr>
            <w:tcW w:w="3681" w:type="dxa"/>
          </w:tcPr>
          <w:p w14:paraId="299A1360" w14:textId="0F3AC88F" w:rsidR="00394A4D" w:rsidRPr="00394A4D" w:rsidRDefault="00394A4D" w:rsidP="00394A4D">
            <w:pPr>
              <w:rPr>
                <w:rFonts w:ascii="Times New Roman" w:hAnsi="Times New Roman" w:cs="Times New Roman"/>
                <w:b/>
                <w:bCs/>
                <w:sz w:val="24"/>
                <w:szCs w:val="24"/>
              </w:rPr>
            </w:pPr>
            <w:r w:rsidRPr="00394A4D">
              <w:rPr>
                <w:rFonts w:ascii="Times New Roman" w:hAnsi="Times New Roman" w:cs="Times New Roman"/>
                <w:b/>
                <w:bCs/>
                <w:sz w:val="24"/>
                <w:szCs w:val="24"/>
              </w:rPr>
              <w:t>Horas presenciales</w:t>
            </w:r>
          </w:p>
        </w:tc>
        <w:tc>
          <w:tcPr>
            <w:tcW w:w="2835" w:type="dxa"/>
          </w:tcPr>
          <w:p w14:paraId="16E617F4" w14:textId="77777777" w:rsidR="00394A4D" w:rsidRPr="00394A4D" w:rsidRDefault="00394A4D" w:rsidP="00394A4D">
            <w:pPr>
              <w:jc w:val="center"/>
            </w:pPr>
          </w:p>
        </w:tc>
        <w:tc>
          <w:tcPr>
            <w:tcW w:w="2834" w:type="dxa"/>
          </w:tcPr>
          <w:p w14:paraId="1431A976" w14:textId="77777777" w:rsidR="00394A4D" w:rsidRPr="00394A4D" w:rsidRDefault="00394A4D" w:rsidP="00394A4D">
            <w:pPr>
              <w:jc w:val="center"/>
            </w:pPr>
          </w:p>
        </w:tc>
      </w:tr>
      <w:tr w:rsidR="00394A4D" w:rsidRPr="00394A4D" w14:paraId="39E90857" w14:textId="77777777" w:rsidTr="00394A4D">
        <w:trPr>
          <w:jc w:val="center"/>
        </w:trPr>
        <w:tc>
          <w:tcPr>
            <w:tcW w:w="3681" w:type="dxa"/>
          </w:tcPr>
          <w:p w14:paraId="2FE6AB89" w14:textId="5D2CD75D" w:rsidR="00394A4D" w:rsidRPr="00394A4D" w:rsidRDefault="00394A4D" w:rsidP="00394A4D">
            <w:pPr>
              <w:rPr>
                <w:rFonts w:ascii="Times New Roman" w:hAnsi="Times New Roman" w:cs="Times New Roman"/>
                <w:b/>
                <w:bCs/>
                <w:sz w:val="24"/>
                <w:szCs w:val="24"/>
              </w:rPr>
            </w:pPr>
            <w:r w:rsidRPr="00394A4D">
              <w:rPr>
                <w:rFonts w:ascii="Times New Roman" w:hAnsi="Times New Roman" w:cs="Times New Roman"/>
                <w:b/>
                <w:bCs/>
                <w:sz w:val="24"/>
                <w:szCs w:val="24"/>
              </w:rPr>
              <w:t>Horas no presenciales</w:t>
            </w:r>
          </w:p>
        </w:tc>
        <w:tc>
          <w:tcPr>
            <w:tcW w:w="2835" w:type="dxa"/>
          </w:tcPr>
          <w:p w14:paraId="3F4F7658" w14:textId="77777777" w:rsidR="00394A4D" w:rsidRPr="00394A4D" w:rsidRDefault="00394A4D" w:rsidP="00394A4D">
            <w:pPr>
              <w:jc w:val="center"/>
            </w:pPr>
          </w:p>
        </w:tc>
        <w:tc>
          <w:tcPr>
            <w:tcW w:w="2834" w:type="dxa"/>
          </w:tcPr>
          <w:p w14:paraId="667BE40F" w14:textId="77777777" w:rsidR="00394A4D" w:rsidRPr="00394A4D" w:rsidRDefault="00394A4D" w:rsidP="00394A4D">
            <w:pPr>
              <w:jc w:val="center"/>
            </w:pPr>
          </w:p>
        </w:tc>
      </w:tr>
      <w:tr w:rsidR="00394A4D" w:rsidRPr="00394A4D" w14:paraId="248DB673" w14:textId="77777777" w:rsidTr="00394A4D">
        <w:trPr>
          <w:jc w:val="center"/>
        </w:trPr>
        <w:tc>
          <w:tcPr>
            <w:tcW w:w="3681" w:type="dxa"/>
          </w:tcPr>
          <w:p w14:paraId="62AE89A7" w14:textId="1C4EE296" w:rsidR="00394A4D" w:rsidRPr="00394A4D" w:rsidRDefault="00394A4D" w:rsidP="00394A4D">
            <w:pPr>
              <w:rPr>
                <w:rFonts w:ascii="Times New Roman" w:hAnsi="Times New Roman" w:cs="Times New Roman"/>
                <w:b/>
                <w:bCs/>
                <w:sz w:val="24"/>
                <w:szCs w:val="24"/>
              </w:rPr>
            </w:pPr>
            <w:r w:rsidRPr="00394A4D">
              <w:rPr>
                <w:rFonts w:ascii="Times New Roman" w:hAnsi="Times New Roman" w:cs="Times New Roman"/>
                <w:b/>
                <w:bCs/>
                <w:sz w:val="24"/>
                <w:szCs w:val="24"/>
              </w:rPr>
              <w:t>Total de horas</w:t>
            </w:r>
          </w:p>
        </w:tc>
        <w:tc>
          <w:tcPr>
            <w:tcW w:w="2835" w:type="dxa"/>
          </w:tcPr>
          <w:p w14:paraId="5CE3A7E7" w14:textId="4F3F9923" w:rsidR="00394A4D" w:rsidRPr="00394A4D" w:rsidRDefault="00394A4D" w:rsidP="00394A4D">
            <w:pPr>
              <w:jc w:val="center"/>
              <w:rPr>
                <w:rFonts w:ascii="Times New Roman" w:hAnsi="Times New Roman" w:cs="Times New Roman"/>
                <w:sz w:val="24"/>
                <w:szCs w:val="24"/>
              </w:rPr>
            </w:pPr>
            <w:r w:rsidRPr="00394A4D">
              <w:rPr>
                <w:rFonts w:ascii="Times New Roman" w:hAnsi="Times New Roman" w:cs="Times New Roman"/>
                <w:sz w:val="24"/>
                <w:szCs w:val="24"/>
              </w:rPr>
              <w:t>60</w:t>
            </w:r>
          </w:p>
        </w:tc>
        <w:tc>
          <w:tcPr>
            <w:tcW w:w="2834" w:type="dxa"/>
          </w:tcPr>
          <w:p w14:paraId="24AD39C3" w14:textId="75458574" w:rsidR="00394A4D" w:rsidRPr="00394A4D" w:rsidRDefault="00394A4D" w:rsidP="00394A4D">
            <w:pPr>
              <w:jc w:val="center"/>
              <w:rPr>
                <w:rFonts w:ascii="Times New Roman" w:hAnsi="Times New Roman" w:cs="Times New Roman"/>
                <w:sz w:val="24"/>
                <w:szCs w:val="24"/>
              </w:rPr>
            </w:pPr>
            <w:r w:rsidRPr="00394A4D">
              <w:rPr>
                <w:rFonts w:ascii="Times New Roman" w:hAnsi="Times New Roman" w:cs="Times New Roman"/>
                <w:sz w:val="24"/>
                <w:szCs w:val="24"/>
              </w:rPr>
              <w:t>40</w:t>
            </w:r>
          </w:p>
        </w:tc>
      </w:tr>
    </w:tbl>
    <w:p w14:paraId="1937B1E7" w14:textId="77777777" w:rsidR="005C4D1D" w:rsidRPr="00394A4D" w:rsidRDefault="00F21588">
      <w:pPr>
        <w:widowControl w:val="0"/>
        <w:pBdr>
          <w:top w:val="nil"/>
          <w:left w:val="nil"/>
          <w:bottom w:val="nil"/>
          <w:right w:val="nil"/>
          <w:between w:val="nil"/>
        </w:pBdr>
        <w:spacing w:before="1228"/>
        <w:ind w:left="-28" w:right="839"/>
        <w:rPr>
          <w:rFonts w:ascii="Times New Roman" w:eastAsia="Times New Roman" w:hAnsi="Times New Roman" w:cs="Times New Roman"/>
          <w:b/>
          <w:sz w:val="24"/>
          <w:szCs w:val="24"/>
        </w:rPr>
      </w:pPr>
      <w:r w:rsidRPr="00394A4D">
        <w:rPr>
          <w:rFonts w:ascii="Times New Roman" w:eastAsia="Times New Roman" w:hAnsi="Times New Roman" w:cs="Times New Roman"/>
          <w:b/>
          <w:sz w:val="24"/>
          <w:szCs w:val="24"/>
        </w:rPr>
        <w:t xml:space="preserve">7- FORMAS DE EVALUACIÓN, GANANCIA Y APROBACIÓN DEL CURSO </w:t>
      </w:r>
    </w:p>
    <w:p w14:paraId="08B0A6F0" w14:textId="77777777" w:rsidR="005C4D1D" w:rsidRPr="00394A4D" w:rsidRDefault="00F21588">
      <w:pPr>
        <w:widowControl w:val="0"/>
        <w:pBdr>
          <w:top w:val="nil"/>
          <w:left w:val="nil"/>
          <w:bottom w:val="nil"/>
          <w:right w:val="nil"/>
          <w:between w:val="nil"/>
        </w:pBdr>
        <w:spacing w:before="225"/>
        <w:ind w:left="-28" w:right="-105"/>
        <w:jc w:val="both"/>
        <w:rPr>
          <w:rFonts w:ascii="Times New Roman" w:eastAsia="Times New Roman" w:hAnsi="Times New Roman" w:cs="Times New Roman"/>
          <w:color w:val="FF0000"/>
          <w:sz w:val="24"/>
          <w:szCs w:val="24"/>
        </w:rPr>
      </w:pPr>
      <w:r w:rsidRPr="00394A4D">
        <w:rPr>
          <w:rFonts w:ascii="Times New Roman" w:eastAsia="Times New Roman" w:hAnsi="Times New Roman" w:cs="Times New Roman"/>
          <w:color w:val="FF0000"/>
          <w:sz w:val="24"/>
          <w:szCs w:val="24"/>
        </w:rPr>
        <w:t xml:space="preserve">Indicar claramente los criterios que se considerarán para que el estudiante gane el curso (por ejemplo asistencias a todas o algunas de las actividades, pruebas parciales sumativas con o sin puntaje mínimo, si incluye evaluación continua y criterios para la misma, si existen tareas o informes obligatorios, otros) o apruebe el curso (por ejemplo posibilidad de exonerar el examen, criterios para la aprobación del examen, etc). </w:t>
      </w:r>
    </w:p>
    <w:p w14:paraId="7C010B9E" w14:textId="77777777" w:rsidR="005C4D1D" w:rsidRPr="00394A4D" w:rsidRDefault="00F21588">
      <w:pPr>
        <w:widowControl w:val="0"/>
        <w:pBdr>
          <w:top w:val="nil"/>
          <w:left w:val="nil"/>
          <w:bottom w:val="nil"/>
          <w:right w:val="nil"/>
          <w:between w:val="nil"/>
        </w:pBdr>
        <w:spacing w:before="225"/>
        <w:ind w:left="-28" w:right="-105"/>
        <w:jc w:val="both"/>
        <w:rPr>
          <w:rFonts w:ascii="Times New Roman" w:eastAsia="Times New Roman" w:hAnsi="Times New Roman" w:cs="Times New Roman"/>
          <w:color w:val="FF0000"/>
          <w:sz w:val="24"/>
          <w:szCs w:val="24"/>
        </w:rPr>
      </w:pPr>
      <w:r w:rsidRPr="00394A4D">
        <w:rPr>
          <w:rFonts w:ascii="Times New Roman" w:eastAsia="Times New Roman" w:hAnsi="Times New Roman" w:cs="Times New Roman"/>
          <w:color w:val="FF0000"/>
          <w:sz w:val="24"/>
          <w:szCs w:val="24"/>
        </w:rPr>
        <w:t xml:space="preserve">En caso de que corresponda, indicar para cada componente de la evaluación, que es lo que se busca </w:t>
      </w:r>
      <w:r w:rsidRPr="00394A4D">
        <w:rPr>
          <w:rFonts w:ascii="Times New Roman" w:eastAsia="Times New Roman" w:hAnsi="Times New Roman" w:cs="Times New Roman"/>
          <w:color w:val="FF0000"/>
          <w:sz w:val="24"/>
          <w:szCs w:val="24"/>
        </w:rPr>
        <w:lastRenderedPageBreak/>
        <w:t xml:space="preserve">evaluar y el puntaje/calificación asignado para cada uno. Si se utiliza una grilla o rúbrica de evaluación / corrección, agregarla como anexo al Programa y aclararlo en este ítem. Explicar en los casos que corresponda, la forma en que se realizará la devolución de cada uno de los componentes de la evaluación (por ejemplo devolución individual de continuas, explicación presencial de una prueba, explicación escrita vía EVA de las opciones correctas, entre otros). </w:t>
      </w:r>
    </w:p>
    <w:p w14:paraId="4F27A2B6" w14:textId="77777777" w:rsidR="005C4D1D" w:rsidRPr="00394A4D" w:rsidRDefault="00F21588">
      <w:pPr>
        <w:widowControl w:val="0"/>
        <w:pBdr>
          <w:top w:val="nil"/>
          <w:left w:val="nil"/>
          <w:bottom w:val="nil"/>
          <w:right w:val="nil"/>
          <w:between w:val="nil"/>
        </w:pBdr>
        <w:spacing w:before="691"/>
        <w:ind w:left="-28" w:right="5404"/>
        <w:rPr>
          <w:rFonts w:ascii="Times New Roman" w:eastAsia="Times New Roman" w:hAnsi="Times New Roman" w:cs="Times New Roman"/>
          <w:b/>
          <w:sz w:val="24"/>
          <w:szCs w:val="24"/>
        </w:rPr>
      </w:pPr>
      <w:r w:rsidRPr="00394A4D">
        <w:rPr>
          <w:rFonts w:ascii="Times New Roman" w:eastAsia="Times New Roman" w:hAnsi="Times New Roman" w:cs="Times New Roman"/>
          <w:b/>
          <w:sz w:val="24"/>
          <w:szCs w:val="24"/>
        </w:rPr>
        <w:t xml:space="preserve">8- ORGANIZACIÓN DEL CURSO </w:t>
      </w:r>
    </w:p>
    <w:p w14:paraId="3E99F2C3" w14:textId="77777777" w:rsidR="005C4D1D" w:rsidRPr="00394A4D" w:rsidRDefault="00F21588">
      <w:pPr>
        <w:widowControl w:val="0"/>
        <w:pBdr>
          <w:top w:val="nil"/>
          <w:left w:val="nil"/>
          <w:bottom w:val="nil"/>
          <w:right w:val="nil"/>
          <w:between w:val="nil"/>
        </w:pBdr>
        <w:spacing w:before="225"/>
        <w:ind w:left="-28" w:right="8011"/>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Calendario </w:t>
      </w:r>
    </w:p>
    <w:p w14:paraId="18BB3F45" w14:textId="0A875631" w:rsidR="00394A4D" w:rsidRPr="00394A4D" w:rsidRDefault="00F21588" w:rsidP="00394A4D">
      <w:pPr>
        <w:widowControl w:val="0"/>
        <w:pBdr>
          <w:top w:val="nil"/>
          <w:left w:val="nil"/>
          <w:bottom w:val="nil"/>
          <w:right w:val="nil"/>
          <w:between w:val="nil"/>
        </w:pBdr>
        <w:spacing w:before="48"/>
        <w:ind w:left="676" w:right="3364"/>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Fecha de inicio</w:t>
      </w:r>
      <w:r w:rsidR="00394A4D" w:rsidRPr="00394A4D">
        <w:rPr>
          <w:rFonts w:ascii="Times New Roman" w:eastAsia="Times New Roman" w:hAnsi="Times New Roman" w:cs="Times New Roman"/>
          <w:sz w:val="24"/>
          <w:szCs w:val="24"/>
        </w:rPr>
        <w:t>:</w:t>
      </w:r>
      <w:r w:rsidRPr="00394A4D">
        <w:rPr>
          <w:rFonts w:ascii="Times New Roman" w:eastAsia="Times New Roman" w:hAnsi="Times New Roman" w:cs="Times New Roman"/>
          <w:sz w:val="24"/>
          <w:szCs w:val="24"/>
        </w:rPr>
        <w:t xml:space="preserve"> </w:t>
      </w:r>
      <w:r w:rsidR="00394A4D" w:rsidRPr="00394A4D">
        <w:rPr>
          <w:rFonts w:ascii="Times New Roman" w:eastAsia="Times New Roman" w:hAnsi="Times New Roman" w:cs="Times New Roman"/>
          <w:sz w:val="24"/>
          <w:szCs w:val="24"/>
        </w:rPr>
        <w:t>11 de marzo</w:t>
      </w:r>
    </w:p>
    <w:p w14:paraId="0AD698E4" w14:textId="70CD2EBF" w:rsidR="00394A4D" w:rsidRPr="00394A4D" w:rsidRDefault="00F21588">
      <w:pPr>
        <w:widowControl w:val="0"/>
        <w:pBdr>
          <w:top w:val="nil"/>
          <w:left w:val="nil"/>
          <w:bottom w:val="nil"/>
          <w:right w:val="nil"/>
          <w:between w:val="nil"/>
        </w:pBdr>
        <w:spacing w:before="48"/>
        <w:ind w:left="676" w:right="3364"/>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Fecha de finalización</w:t>
      </w:r>
      <w:r w:rsidR="00394A4D" w:rsidRPr="00394A4D">
        <w:rPr>
          <w:rFonts w:ascii="Times New Roman" w:eastAsia="Times New Roman" w:hAnsi="Times New Roman" w:cs="Times New Roman"/>
          <w:sz w:val="24"/>
          <w:szCs w:val="24"/>
        </w:rPr>
        <w:t>:</w:t>
      </w:r>
      <w:r w:rsidRPr="00394A4D">
        <w:rPr>
          <w:rFonts w:ascii="Times New Roman" w:eastAsia="Times New Roman" w:hAnsi="Times New Roman" w:cs="Times New Roman"/>
          <w:sz w:val="24"/>
          <w:szCs w:val="24"/>
        </w:rPr>
        <w:t xml:space="preserve"> </w:t>
      </w:r>
      <w:r w:rsidR="00394A4D" w:rsidRPr="00394A4D">
        <w:rPr>
          <w:rFonts w:ascii="Times New Roman" w:eastAsia="Times New Roman" w:hAnsi="Times New Roman" w:cs="Times New Roman"/>
          <w:sz w:val="24"/>
          <w:szCs w:val="24"/>
        </w:rPr>
        <w:t>17 de junio</w:t>
      </w:r>
    </w:p>
    <w:p w14:paraId="33030A18" w14:textId="610236D7" w:rsidR="005C4D1D" w:rsidRPr="00394A4D" w:rsidRDefault="00F21588" w:rsidP="00394A4D">
      <w:pPr>
        <w:widowControl w:val="0"/>
        <w:pBdr>
          <w:top w:val="nil"/>
          <w:left w:val="nil"/>
          <w:bottom w:val="nil"/>
          <w:right w:val="nil"/>
          <w:between w:val="nil"/>
        </w:pBdr>
        <w:spacing w:before="48"/>
        <w:ind w:left="676" w:right="4"/>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Fechas de exámenes </w:t>
      </w:r>
      <w:r w:rsidR="00394A4D" w:rsidRPr="00394A4D">
        <w:rPr>
          <w:rFonts w:ascii="Times New Roman" w:eastAsia="Times New Roman" w:hAnsi="Times New Roman" w:cs="Times New Roman"/>
          <w:sz w:val="24"/>
          <w:szCs w:val="24"/>
        </w:rPr>
        <w:t xml:space="preserve">periodos ordinarios: 29 de julio; 2 de diciembre </w:t>
      </w:r>
    </w:p>
    <w:p w14:paraId="16A6F9BC" w14:textId="77777777" w:rsidR="005C4D1D" w:rsidRPr="00394A4D" w:rsidRDefault="00F21588">
      <w:pPr>
        <w:widowControl w:val="0"/>
        <w:pBdr>
          <w:top w:val="nil"/>
          <w:left w:val="nil"/>
          <w:bottom w:val="nil"/>
          <w:right w:val="nil"/>
          <w:between w:val="nil"/>
        </w:pBdr>
        <w:spacing w:before="331"/>
        <w:ind w:left="-28" w:right="7008"/>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Organización general </w:t>
      </w:r>
    </w:p>
    <w:p w14:paraId="44E3E3BA" w14:textId="131C0B08" w:rsidR="00394A4D" w:rsidRPr="00394A4D" w:rsidRDefault="00394A4D">
      <w:pPr>
        <w:widowControl w:val="0"/>
        <w:pBdr>
          <w:top w:val="nil"/>
          <w:left w:val="nil"/>
          <w:bottom w:val="nil"/>
          <w:right w:val="nil"/>
          <w:between w:val="nil"/>
        </w:pBdr>
        <w:spacing w:before="585"/>
        <w:ind w:left="676" w:right="-110"/>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Clases: lunes 16h (salón a confirmar)</w:t>
      </w:r>
      <w:r w:rsidRPr="00394A4D">
        <w:rPr>
          <w:rFonts w:ascii="Times New Roman" w:eastAsia="Times New Roman" w:hAnsi="Times New Roman" w:cs="Times New Roman"/>
          <w:sz w:val="24"/>
          <w:szCs w:val="24"/>
        </w:rPr>
        <w:br/>
      </w:r>
      <w:r w:rsidRPr="00394A4D">
        <w:rPr>
          <w:rFonts w:ascii="Times New Roman" w:eastAsia="Times New Roman" w:hAnsi="Times New Roman" w:cs="Times New Roman"/>
          <w:sz w:val="24"/>
          <w:szCs w:val="24"/>
        </w:rPr>
        <w:tab/>
      </w:r>
      <w:r w:rsidRPr="00394A4D">
        <w:rPr>
          <w:rFonts w:ascii="Times New Roman" w:eastAsia="Times New Roman" w:hAnsi="Times New Roman" w:cs="Times New Roman"/>
          <w:sz w:val="24"/>
          <w:szCs w:val="24"/>
        </w:rPr>
        <w:tab/>
        <w:t xml:space="preserve">miércoles 16h (salón 3A del Edificio Escuelas - Parque Batlle) </w:t>
      </w:r>
    </w:p>
    <w:p w14:paraId="1EC771EC" w14:textId="4DB281FB" w:rsidR="005C4D1D" w:rsidRPr="00394A4D" w:rsidRDefault="00394A4D" w:rsidP="00394A4D">
      <w:pPr>
        <w:widowControl w:val="0"/>
        <w:pBdr>
          <w:top w:val="nil"/>
          <w:left w:val="nil"/>
          <w:bottom w:val="nil"/>
          <w:right w:val="nil"/>
          <w:between w:val="nil"/>
        </w:pBdr>
        <w:spacing w:before="585"/>
        <w:ind w:right="-110"/>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La </w:t>
      </w:r>
      <w:r w:rsidR="00F21588" w:rsidRPr="00394A4D">
        <w:rPr>
          <w:rFonts w:ascii="Times New Roman" w:eastAsia="Times New Roman" w:hAnsi="Times New Roman" w:cs="Times New Roman"/>
          <w:sz w:val="24"/>
          <w:szCs w:val="24"/>
        </w:rPr>
        <w:t>información necesaria para acceder al EVA se brindará en la primera clase presencial del Curso</w:t>
      </w:r>
      <w:r w:rsidRPr="00394A4D">
        <w:rPr>
          <w:rFonts w:ascii="Times New Roman" w:eastAsia="Times New Roman" w:hAnsi="Times New Roman" w:cs="Times New Roman"/>
          <w:sz w:val="24"/>
          <w:szCs w:val="24"/>
        </w:rPr>
        <w:t>.</w:t>
      </w:r>
    </w:p>
    <w:p w14:paraId="46979E7C" w14:textId="77777777" w:rsidR="00394A4D" w:rsidRDefault="00F21588">
      <w:pPr>
        <w:widowControl w:val="0"/>
        <w:pBdr>
          <w:top w:val="nil"/>
          <w:left w:val="nil"/>
          <w:bottom w:val="nil"/>
          <w:right w:val="nil"/>
          <w:between w:val="nil"/>
        </w:pBdr>
        <w:spacing w:before="686"/>
        <w:ind w:left="-28" w:right="-105"/>
        <w:rPr>
          <w:rFonts w:ascii="Times New Roman" w:eastAsia="Times New Roman" w:hAnsi="Times New Roman" w:cs="Times New Roman"/>
          <w:b/>
          <w:sz w:val="24"/>
          <w:szCs w:val="24"/>
        </w:rPr>
      </w:pPr>
      <w:r w:rsidRPr="00394A4D">
        <w:rPr>
          <w:rFonts w:ascii="Times New Roman" w:eastAsia="Times New Roman" w:hAnsi="Times New Roman" w:cs="Times New Roman"/>
          <w:b/>
          <w:sz w:val="24"/>
          <w:szCs w:val="24"/>
        </w:rPr>
        <w:t xml:space="preserve">9- BIBLIOGRAFÍA RECOMENDADA </w:t>
      </w:r>
    </w:p>
    <w:p w14:paraId="12F44486" w14:textId="77777777" w:rsidR="00394A4D" w:rsidRDefault="00394A4D" w:rsidP="00394A4D">
      <w:pPr>
        <w:pStyle w:val="Prrafodelista"/>
        <w:widowControl w:val="0"/>
        <w:numPr>
          <w:ilvl w:val="0"/>
          <w:numId w:val="1"/>
        </w:numPr>
        <w:pBdr>
          <w:top w:val="nil"/>
          <w:left w:val="nil"/>
          <w:bottom w:val="nil"/>
          <w:right w:val="nil"/>
          <w:between w:val="nil"/>
        </w:pBdr>
        <w:spacing w:before="686"/>
        <w:ind w:right="-105"/>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Dillenseger JP, Moerschel E. Manual para técnicos radiólogos. Buenos Aires: Journal; 2012.</w:t>
      </w:r>
    </w:p>
    <w:p w14:paraId="647B65FB" w14:textId="3FF57FAD" w:rsidR="00394A4D" w:rsidRDefault="00394A4D" w:rsidP="00394A4D">
      <w:pPr>
        <w:pStyle w:val="Prrafodelista"/>
        <w:widowControl w:val="0"/>
        <w:numPr>
          <w:ilvl w:val="0"/>
          <w:numId w:val="1"/>
        </w:numPr>
        <w:pBdr>
          <w:top w:val="nil"/>
          <w:left w:val="nil"/>
          <w:bottom w:val="nil"/>
          <w:right w:val="nil"/>
          <w:between w:val="nil"/>
        </w:pBdr>
        <w:spacing w:before="686"/>
        <w:ind w:right="-105"/>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Bushong, SC. Manual de Radiología para Técnicos, Física, Biología y Protección Radiológica (10ma. Edición) Hartcourt Brace: Mosby</w:t>
      </w:r>
    </w:p>
    <w:p w14:paraId="482FF620" w14:textId="539DBA4D" w:rsidR="00394A4D" w:rsidRPr="00394A4D" w:rsidRDefault="00394A4D" w:rsidP="00394A4D">
      <w:pPr>
        <w:pStyle w:val="Prrafodelista"/>
        <w:widowControl w:val="0"/>
        <w:numPr>
          <w:ilvl w:val="0"/>
          <w:numId w:val="1"/>
        </w:numPr>
        <w:pBdr>
          <w:top w:val="nil"/>
          <w:left w:val="nil"/>
          <w:bottom w:val="nil"/>
          <w:right w:val="nil"/>
          <w:between w:val="nil"/>
        </w:pBdr>
        <w:spacing w:before="686"/>
        <w:ind w:right="-105"/>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Publicación 105, COMISION INTERNACIONAL DE PROTECCION RADIOLOGICA, 2007. Protección Radiológica en Medicina</w:t>
      </w:r>
    </w:p>
    <w:p w14:paraId="642C8175" w14:textId="7A9F18FE" w:rsidR="00394A4D" w:rsidRPr="00394A4D" w:rsidRDefault="00394A4D" w:rsidP="00394A4D">
      <w:pPr>
        <w:pStyle w:val="Prrafodelista"/>
        <w:widowControl w:val="0"/>
        <w:numPr>
          <w:ilvl w:val="0"/>
          <w:numId w:val="1"/>
        </w:numPr>
        <w:pBdr>
          <w:top w:val="nil"/>
          <w:left w:val="nil"/>
          <w:bottom w:val="nil"/>
          <w:right w:val="nil"/>
          <w:between w:val="nil"/>
        </w:pBdr>
        <w:spacing w:before="686"/>
        <w:ind w:right="-105"/>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Publicación 103</w:t>
      </w:r>
      <w:r w:rsidRPr="00394A4D">
        <w:rPr>
          <w:rFonts w:ascii="Times New Roman" w:eastAsia="Times New Roman" w:hAnsi="Times New Roman" w:cs="Times New Roman"/>
          <w:sz w:val="24"/>
          <w:szCs w:val="24"/>
        </w:rPr>
        <w:t xml:space="preserve">, </w:t>
      </w:r>
      <w:r w:rsidRPr="00394A4D">
        <w:rPr>
          <w:rFonts w:ascii="Times New Roman" w:eastAsia="Times New Roman" w:hAnsi="Times New Roman" w:cs="Times New Roman"/>
          <w:sz w:val="24"/>
          <w:szCs w:val="24"/>
        </w:rPr>
        <w:t>COMISION INTERNACIONAL DE PROTECCION RADIOLOGICA, 2007. Las Recomendaciones de la ICRP</w:t>
      </w:r>
    </w:p>
    <w:p w14:paraId="091EBB8B" w14:textId="77777777" w:rsidR="00394A4D" w:rsidRPr="00394A4D" w:rsidRDefault="00394A4D" w:rsidP="00394A4D">
      <w:pPr>
        <w:pStyle w:val="Prrafodelista"/>
        <w:widowControl w:val="0"/>
        <w:numPr>
          <w:ilvl w:val="0"/>
          <w:numId w:val="1"/>
        </w:numPr>
        <w:pBdr>
          <w:top w:val="nil"/>
          <w:left w:val="nil"/>
          <w:bottom w:val="nil"/>
          <w:right w:val="nil"/>
          <w:between w:val="nil"/>
        </w:pBdr>
        <w:spacing w:before="686"/>
        <w:ind w:right="-105"/>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Publicación </w:t>
      </w:r>
      <w:r w:rsidRPr="00394A4D">
        <w:rPr>
          <w:rFonts w:ascii="Times New Roman" w:eastAsia="Times New Roman" w:hAnsi="Times New Roman" w:cs="Times New Roman"/>
          <w:sz w:val="24"/>
          <w:szCs w:val="24"/>
        </w:rPr>
        <w:t>No. SF-1,</w:t>
      </w:r>
      <w:r w:rsidRPr="00394A4D">
        <w:rPr>
          <w:rFonts w:ascii="Times New Roman" w:eastAsia="Times New Roman" w:hAnsi="Times New Roman" w:cs="Times New Roman"/>
          <w:sz w:val="24"/>
          <w:szCs w:val="24"/>
        </w:rPr>
        <w:t xml:space="preserve"> </w:t>
      </w:r>
      <w:r w:rsidRPr="00394A4D">
        <w:rPr>
          <w:rFonts w:ascii="Times New Roman" w:eastAsia="Times New Roman" w:hAnsi="Times New Roman" w:cs="Times New Roman"/>
          <w:sz w:val="24"/>
          <w:szCs w:val="24"/>
        </w:rPr>
        <w:t>ORGANISMO INTERNACIONAL DE ENERGIA ATOMICA, Normas de seguridad del OIEA para la protección de las personas y el medio ambiente. Principios fundamentales de seguridad. Nociones fundamentales de seguridad.</w:t>
      </w:r>
    </w:p>
    <w:p w14:paraId="646A2F4B" w14:textId="742E2519" w:rsidR="005C4D1D" w:rsidRPr="00394A4D" w:rsidRDefault="00394A4D" w:rsidP="00394A4D">
      <w:pPr>
        <w:pStyle w:val="Prrafodelista"/>
        <w:widowControl w:val="0"/>
        <w:numPr>
          <w:ilvl w:val="0"/>
          <w:numId w:val="1"/>
        </w:numPr>
        <w:pBdr>
          <w:top w:val="nil"/>
          <w:left w:val="nil"/>
          <w:bottom w:val="nil"/>
          <w:right w:val="nil"/>
          <w:between w:val="nil"/>
        </w:pBdr>
        <w:spacing w:before="686"/>
        <w:ind w:right="-105"/>
        <w:rPr>
          <w:rFonts w:ascii="Times New Roman" w:eastAsia="Times New Roman" w:hAnsi="Times New Roman" w:cs="Times New Roman"/>
          <w:sz w:val="24"/>
          <w:szCs w:val="24"/>
        </w:rPr>
      </w:pPr>
      <w:r w:rsidRPr="00394A4D">
        <w:rPr>
          <w:rFonts w:ascii="Times New Roman" w:eastAsia="Times New Roman" w:hAnsi="Times New Roman" w:cs="Times New Roman"/>
          <w:sz w:val="24"/>
          <w:szCs w:val="24"/>
        </w:rPr>
        <w:t xml:space="preserve">Publicación </w:t>
      </w:r>
      <w:r w:rsidRPr="00394A4D">
        <w:rPr>
          <w:rFonts w:ascii="Times New Roman" w:eastAsia="Times New Roman" w:hAnsi="Times New Roman" w:cs="Times New Roman"/>
          <w:sz w:val="24"/>
          <w:szCs w:val="24"/>
        </w:rPr>
        <w:t>No. GSR Parte 3</w:t>
      </w:r>
      <w:r w:rsidRPr="00394A4D">
        <w:rPr>
          <w:rFonts w:ascii="Times New Roman" w:eastAsia="Times New Roman" w:hAnsi="Times New Roman" w:cs="Times New Roman"/>
          <w:sz w:val="24"/>
          <w:szCs w:val="24"/>
        </w:rPr>
        <w:t xml:space="preserve">, </w:t>
      </w:r>
      <w:r w:rsidRPr="00394A4D">
        <w:rPr>
          <w:rFonts w:ascii="Times New Roman" w:eastAsia="Times New Roman" w:hAnsi="Times New Roman" w:cs="Times New Roman"/>
          <w:sz w:val="24"/>
          <w:szCs w:val="24"/>
        </w:rPr>
        <w:t xml:space="preserve">ORGANISMO INTERNACIONAL DE ENERGIA </w:t>
      </w:r>
      <w:r w:rsidRPr="00394A4D">
        <w:rPr>
          <w:rFonts w:ascii="Times New Roman" w:eastAsia="Times New Roman" w:hAnsi="Times New Roman" w:cs="Times New Roman"/>
          <w:sz w:val="24"/>
          <w:szCs w:val="24"/>
        </w:rPr>
        <w:lastRenderedPageBreak/>
        <w:t xml:space="preserve">ATOMICA, Normas de seguridad del OIEA para la protección de las personas y el medio ambiente. </w:t>
      </w:r>
      <w:r w:rsidRPr="00394A4D">
        <w:rPr>
          <w:rFonts w:ascii="Times New Roman" w:eastAsia="Times New Roman" w:hAnsi="Times New Roman" w:cs="Times New Roman"/>
          <w:sz w:val="24"/>
          <w:szCs w:val="24"/>
        </w:rPr>
        <w:t>Protección</w:t>
      </w:r>
      <w:r w:rsidRPr="00394A4D">
        <w:rPr>
          <w:rFonts w:ascii="Times New Roman" w:eastAsia="Times New Roman" w:hAnsi="Times New Roman" w:cs="Times New Roman"/>
          <w:sz w:val="24"/>
          <w:szCs w:val="24"/>
        </w:rPr>
        <w:t xml:space="preserve"> radiológica y seguridad de las fuentes de </w:t>
      </w:r>
      <w:r w:rsidRPr="00394A4D">
        <w:rPr>
          <w:rFonts w:ascii="Times New Roman" w:eastAsia="Times New Roman" w:hAnsi="Times New Roman" w:cs="Times New Roman"/>
          <w:sz w:val="24"/>
          <w:szCs w:val="24"/>
        </w:rPr>
        <w:t>radiación</w:t>
      </w:r>
      <w:r w:rsidRPr="00394A4D">
        <w:rPr>
          <w:rFonts w:ascii="Times New Roman" w:eastAsia="Times New Roman" w:hAnsi="Times New Roman" w:cs="Times New Roman"/>
          <w:sz w:val="24"/>
          <w:szCs w:val="24"/>
        </w:rPr>
        <w:t xml:space="preserve">: Normas básicas internacionales de seguridad, Requisitos de Seguridad Generales, Parte 3. </w:t>
      </w:r>
    </w:p>
    <w:sectPr w:rsidR="005C4D1D" w:rsidRPr="00394A4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932AB"/>
    <w:multiLevelType w:val="hybridMultilevel"/>
    <w:tmpl w:val="123CFB4A"/>
    <w:lvl w:ilvl="0" w:tplc="380A0001">
      <w:start w:val="1"/>
      <w:numFmt w:val="bullet"/>
      <w:lvlText w:val=""/>
      <w:lvlJc w:val="left"/>
      <w:pPr>
        <w:ind w:left="692" w:hanging="360"/>
      </w:pPr>
      <w:rPr>
        <w:rFonts w:ascii="Symbol" w:hAnsi="Symbol" w:hint="default"/>
      </w:rPr>
    </w:lvl>
    <w:lvl w:ilvl="1" w:tplc="380A0003" w:tentative="1">
      <w:start w:val="1"/>
      <w:numFmt w:val="bullet"/>
      <w:lvlText w:val="o"/>
      <w:lvlJc w:val="left"/>
      <w:pPr>
        <w:ind w:left="1412" w:hanging="360"/>
      </w:pPr>
      <w:rPr>
        <w:rFonts w:ascii="Courier New" w:hAnsi="Courier New" w:cs="Courier New" w:hint="default"/>
      </w:rPr>
    </w:lvl>
    <w:lvl w:ilvl="2" w:tplc="380A0005" w:tentative="1">
      <w:start w:val="1"/>
      <w:numFmt w:val="bullet"/>
      <w:lvlText w:val=""/>
      <w:lvlJc w:val="left"/>
      <w:pPr>
        <w:ind w:left="2132" w:hanging="360"/>
      </w:pPr>
      <w:rPr>
        <w:rFonts w:ascii="Wingdings" w:hAnsi="Wingdings" w:hint="default"/>
      </w:rPr>
    </w:lvl>
    <w:lvl w:ilvl="3" w:tplc="380A0001" w:tentative="1">
      <w:start w:val="1"/>
      <w:numFmt w:val="bullet"/>
      <w:lvlText w:val=""/>
      <w:lvlJc w:val="left"/>
      <w:pPr>
        <w:ind w:left="2852" w:hanging="360"/>
      </w:pPr>
      <w:rPr>
        <w:rFonts w:ascii="Symbol" w:hAnsi="Symbol" w:hint="default"/>
      </w:rPr>
    </w:lvl>
    <w:lvl w:ilvl="4" w:tplc="380A0003" w:tentative="1">
      <w:start w:val="1"/>
      <w:numFmt w:val="bullet"/>
      <w:lvlText w:val="o"/>
      <w:lvlJc w:val="left"/>
      <w:pPr>
        <w:ind w:left="3572" w:hanging="360"/>
      </w:pPr>
      <w:rPr>
        <w:rFonts w:ascii="Courier New" w:hAnsi="Courier New" w:cs="Courier New" w:hint="default"/>
      </w:rPr>
    </w:lvl>
    <w:lvl w:ilvl="5" w:tplc="380A0005" w:tentative="1">
      <w:start w:val="1"/>
      <w:numFmt w:val="bullet"/>
      <w:lvlText w:val=""/>
      <w:lvlJc w:val="left"/>
      <w:pPr>
        <w:ind w:left="4292" w:hanging="360"/>
      </w:pPr>
      <w:rPr>
        <w:rFonts w:ascii="Wingdings" w:hAnsi="Wingdings" w:hint="default"/>
      </w:rPr>
    </w:lvl>
    <w:lvl w:ilvl="6" w:tplc="380A0001" w:tentative="1">
      <w:start w:val="1"/>
      <w:numFmt w:val="bullet"/>
      <w:lvlText w:val=""/>
      <w:lvlJc w:val="left"/>
      <w:pPr>
        <w:ind w:left="5012" w:hanging="360"/>
      </w:pPr>
      <w:rPr>
        <w:rFonts w:ascii="Symbol" w:hAnsi="Symbol" w:hint="default"/>
      </w:rPr>
    </w:lvl>
    <w:lvl w:ilvl="7" w:tplc="380A0003" w:tentative="1">
      <w:start w:val="1"/>
      <w:numFmt w:val="bullet"/>
      <w:lvlText w:val="o"/>
      <w:lvlJc w:val="left"/>
      <w:pPr>
        <w:ind w:left="5732" w:hanging="360"/>
      </w:pPr>
      <w:rPr>
        <w:rFonts w:ascii="Courier New" w:hAnsi="Courier New" w:cs="Courier New" w:hint="default"/>
      </w:rPr>
    </w:lvl>
    <w:lvl w:ilvl="8" w:tplc="380A0005" w:tentative="1">
      <w:start w:val="1"/>
      <w:numFmt w:val="bullet"/>
      <w:lvlText w:val=""/>
      <w:lvlJc w:val="left"/>
      <w:pPr>
        <w:ind w:left="64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1D"/>
    <w:rsid w:val="00394A4D"/>
    <w:rsid w:val="005C4D1D"/>
    <w:rsid w:val="0065718E"/>
    <w:rsid w:val="00F2158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82EB"/>
  <w15:docId w15:val="{69B4DBB6-89E3-492D-8827-FF1BF60B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UY" w:eastAsia="es-U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94A4D"/>
    <w:pPr>
      <w:ind w:left="720"/>
      <w:contextualSpacing/>
    </w:pPr>
  </w:style>
  <w:style w:type="table" w:styleId="Tablaconcuadrcula">
    <w:name w:val="Table Grid"/>
    <w:basedOn w:val="Tablanormal"/>
    <w:uiPriority w:val="39"/>
    <w:rsid w:val="00394A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8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4815</TotalTime>
  <Pages>5</Pages>
  <Words>1136</Words>
  <Characters>6253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Sanchez</dc:creator>
  <cp:keywords/>
  <dc:description/>
  <cp:lastModifiedBy>Gerardo Sanchez</cp:lastModifiedBy>
  <cp:revision>1</cp:revision>
  <cp:lastPrinted>2020-02-13T20:16:00Z</cp:lastPrinted>
  <dcterms:created xsi:type="dcterms:W3CDTF">2020-02-13T20:15:00Z</dcterms:created>
  <dcterms:modified xsi:type="dcterms:W3CDTF">2020-02-17T06:04:00Z</dcterms:modified>
</cp:coreProperties>
</file>